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D6253" w:rsidRPr="004D6253" w:rsidRDefault="00074E78" w:rsidP="004D6253">
      <w:pPr>
        <w:jc w:val="center"/>
        <w:rPr>
          <w:rFonts w:ascii="Times New Roman" w:eastAsia="Times New Roman" w:hAnsi="Times New Roman" w:cs="Times New Roman"/>
          <w:b/>
          <w:sz w:val="24"/>
          <w:szCs w:val="24"/>
          <w:lang w:val="en-US" w:eastAsia="ru-RU"/>
        </w:rPr>
      </w:pPr>
      <w:bookmarkStart w:id="0" w:name="n67"/>
      <w:bookmarkEnd w:id="0"/>
      <w:r w:rsidRPr="00074E78">
        <w:rPr>
          <w:rFonts w:ascii="Times New Roman" w:eastAsia="Times New Roman" w:hAnsi="Times New Roman" w:cs="Times New Roman"/>
          <w:b/>
          <w:sz w:val="24"/>
          <w:szCs w:val="24"/>
          <w:lang w:val="ru-RU" w:eastAsia="ru-RU"/>
        </w:rPr>
        <w:t xml:space="preserve">                                                                </w:t>
      </w:r>
      <w:r w:rsidR="00B8466D">
        <w:rPr>
          <w:rFonts w:ascii="Times New Roman" w:eastAsia="Times New Roman" w:hAnsi="Times New Roman" w:cs="Times New Roman"/>
          <w:b/>
          <w:sz w:val="24"/>
          <w:szCs w:val="24"/>
          <w:lang w:val="ru-RU" w:eastAsia="ru-RU"/>
        </w:rPr>
        <w:t xml:space="preserve">                       </w:t>
      </w:r>
      <w:r w:rsidR="004D6253">
        <w:rPr>
          <w:rFonts w:ascii="Times New Roman" w:eastAsia="Times New Roman" w:hAnsi="Times New Roman" w:cs="Times New Roman"/>
          <w:b/>
          <w:sz w:val="24"/>
          <w:szCs w:val="24"/>
          <w:lang w:val="ru-RU" w:eastAsia="ru-RU"/>
        </w:rPr>
        <w:t xml:space="preserve">Додаток </w:t>
      </w:r>
      <w:r w:rsidR="004D6253">
        <w:rPr>
          <w:rFonts w:ascii="Times New Roman" w:eastAsia="Times New Roman" w:hAnsi="Times New Roman" w:cs="Times New Roman"/>
          <w:b/>
          <w:sz w:val="24"/>
          <w:szCs w:val="24"/>
          <w:lang w:val="en-US" w:eastAsia="ru-RU"/>
        </w:rPr>
        <w:t>3</w:t>
      </w:r>
    </w:p>
    <w:p w:rsidR="004D6253" w:rsidRPr="004D6253" w:rsidRDefault="004D6253" w:rsidP="004D6253">
      <w:pPr>
        <w:spacing w:line="240" w:lineRule="auto"/>
        <w:jc w:val="center"/>
        <w:rPr>
          <w:rFonts w:ascii="Times New Roman" w:eastAsia="Times New Roman" w:hAnsi="Times New Roman" w:cs="Times New Roman"/>
          <w:b/>
          <w:sz w:val="24"/>
          <w:szCs w:val="24"/>
          <w:lang w:val="ru-RU" w:eastAsia="ru-RU"/>
        </w:rPr>
      </w:pPr>
      <w:r w:rsidRPr="004D6253">
        <w:rPr>
          <w:rFonts w:ascii="Times New Roman" w:eastAsia="Times New Roman" w:hAnsi="Times New Roman" w:cs="Times New Roman"/>
          <w:b/>
          <w:sz w:val="24"/>
          <w:szCs w:val="24"/>
          <w:lang w:val="ru-RU" w:eastAsia="ru-RU"/>
        </w:rPr>
        <w:t xml:space="preserve">                                                                                 до рішення сесії Фонтанської сільської   </w:t>
      </w:r>
    </w:p>
    <w:p w:rsidR="004D6253" w:rsidRPr="004700E1" w:rsidRDefault="004D6253" w:rsidP="004D6253">
      <w:pPr>
        <w:spacing w:line="240" w:lineRule="auto"/>
        <w:jc w:val="center"/>
        <w:rPr>
          <w:rFonts w:ascii="Times New Roman" w:eastAsia="Times New Roman" w:hAnsi="Times New Roman" w:cs="Times New Roman"/>
          <w:b/>
          <w:sz w:val="24"/>
          <w:szCs w:val="24"/>
          <w:lang w:val="uk-UA" w:eastAsia="ru-RU"/>
        </w:rPr>
      </w:pPr>
      <w:r w:rsidRPr="004D6253">
        <w:rPr>
          <w:rFonts w:ascii="Times New Roman" w:eastAsia="Times New Roman" w:hAnsi="Times New Roman" w:cs="Times New Roman"/>
          <w:b/>
          <w:sz w:val="24"/>
          <w:szCs w:val="24"/>
          <w:lang w:val="ru-RU" w:eastAsia="ru-RU"/>
        </w:rPr>
        <w:t xml:space="preserve">                                                       ради  </w:t>
      </w:r>
      <w:r w:rsidRPr="004D6253">
        <w:rPr>
          <w:rFonts w:ascii="Times New Roman" w:eastAsia="Times New Roman" w:hAnsi="Times New Roman" w:cs="Times New Roman"/>
          <w:b/>
          <w:sz w:val="24"/>
          <w:szCs w:val="24"/>
          <w:lang w:val="uk-UA" w:eastAsia="ru-RU"/>
        </w:rPr>
        <w:t xml:space="preserve">від   </w:t>
      </w:r>
      <w:r w:rsidR="004700E1">
        <w:rPr>
          <w:rFonts w:ascii="Times New Roman" w:eastAsia="Times New Roman" w:hAnsi="Times New Roman" w:cs="Times New Roman"/>
          <w:b/>
          <w:sz w:val="24"/>
          <w:szCs w:val="24"/>
          <w:lang w:val="uk-UA" w:eastAsia="ru-RU"/>
        </w:rPr>
        <w:t xml:space="preserve">25.06.2026     </w:t>
      </w:r>
      <w:r w:rsidRPr="004D6253">
        <w:rPr>
          <w:rFonts w:ascii="Times New Roman" w:eastAsia="Times New Roman" w:hAnsi="Times New Roman" w:cs="Times New Roman"/>
          <w:b/>
          <w:sz w:val="24"/>
          <w:szCs w:val="24"/>
          <w:lang w:val="uk-UA" w:eastAsia="ru-RU"/>
        </w:rPr>
        <w:t>№</w:t>
      </w:r>
      <w:r w:rsidR="004700E1">
        <w:rPr>
          <w:rFonts w:ascii="Times New Roman" w:eastAsia="Times New Roman" w:hAnsi="Times New Roman" w:cs="Times New Roman"/>
          <w:b/>
          <w:sz w:val="24"/>
          <w:szCs w:val="24"/>
          <w:lang w:val="uk-UA" w:eastAsia="ru-RU"/>
        </w:rPr>
        <w:t>3894-УІІІ</w:t>
      </w:r>
      <w:bookmarkStart w:id="1" w:name="_GoBack"/>
      <w:bookmarkEnd w:id="1"/>
    </w:p>
    <w:p w:rsidR="00074E78" w:rsidRPr="004700E1" w:rsidRDefault="00074E78" w:rsidP="004D6253">
      <w:pPr>
        <w:spacing w:line="240" w:lineRule="auto"/>
        <w:jc w:val="center"/>
        <w:rPr>
          <w:rFonts w:ascii="Times New Roman" w:eastAsia="Times New Roman" w:hAnsi="Times New Roman" w:cs="Times New Roman"/>
          <w:b/>
          <w:sz w:val="24"/>
          <w:szCs w:val="24"/>
          <w:lang w:val="uk-UA" w:eastAsia="ru-RU"/>
        </w:rPr>
      </w:pPr>
    </w:p>
    <w:p w:rsidR="00074E78" w:rsidRPr="00074E78" w:rsidRDefault="00074E78" w:rsidP="00074E78">
      <w:pPr>
        <w:spacing w:line="240" w:lineRule="auto"/>
        <w:jc w:val="center"/>
        <w:rPr>
          <w:rFonts w:ascii="Times New Roman" w:eastAsia="Times New Roman" w:hAnsi="Times New Roman" w:cs="Times New Roman"/>
          <w:b/>
          <w:sz w:val="24"/>
          <w:szCs w:val="24"/>
          <w:lang w:val="uk-UA" w:eastAsia="ru-RU"/>
        </w:rPr>
      </w:pPr>
    </w:p>
    <w:p w:rsidR="00074E78" w:rsidRPr="00074E78" w:rsidRDefault="00074E78" w:rsidP="00074E78">
      <w:pPr>
        <w:spacing w:line="240" w:lineRule="auto"/>
        <w:jc w:val="center"/>
        <w:rPr>
          <w:rFonts w:ascii="Times New Roman" w:eastAsia="Times New Roman" w:hAnsi="Times New Roman" w:cs="Times New Roman"/>
          <w:b/>
          <w:sz w:val="24"/>
          <w:szCs w:val="24"/>
          <w:lang w:val="uk-UA" w:eastAsia="ru-RU"/>
        </w:rPr>
      </w:pPr>
    </w:p>
    <w:p w:rsidR="00074E78" w:rsidRPr="00074E78" w:rsidRDefault="00074E78" w:rsidP="00074E78">
      <w:pPr>
        <w:spacing w:line="240" w:lineRule="auto"/>
        <w:jc w:val="center"/>
        <w:rPr>
          <w:rFonts w:ascii="Times New Roman" w:eastAsia="Times New Roman" w:hAnsi="Times New Roman" w:cs="Times New Roman"/>
          <w:b/>
          <w:sz w:val="24"/>
          <w:szCs w:val="24"/>
          <w:lang w:val="uk-UA" w:eastAsia="ru-RU"/>
        </w:rPr>
      </w:pPr>
      <w:r w:rsidRPr="00074E78">
        <w:rPr>
          <w:rFonts w:ascii="Times New Roman" w:eastAsia="Times New Roman" w:hAnsi="Times New Roman" w:cs="Times New Roman"/>
          <w:b/>
          <w:sz w:val="24"/>
          <w:szCs w:val="24"/>
          <w:lang w:val="uk-UA" w:eastAsia="ru-RU"/>
        </w:rPr>
        <w:t>Перелік</w:t>
      </w:r>
    </w:p>
    <w:p w:rsidR="000C4687" w:rsidRDefault="00074E78" w:rsidP="000C4687">
      <w:pPr>
        <w:spacing w:line="240" w:lineRule="auto"/>
        <w:jc w:val="center"/>
        <w:rPr>
          <w:rFonts w:ascii="Times New Roman" w:eastAsia="Times New Roman" w:hAnsi="Times New Roman" w:cs="Times New Roman"/>
          <w:b/>
          <w:sz w:val="24"/>
          <w:szCs w:val="24"/>
          <w:lang w:val="uk-UA" w:eastAsia="ru-RU"/>
        </w:rPr>
      </w:pPr>
      <w:r w:rsidRPr="00074E78">
        <w:rPr>
          <w:rFonts w:ascii="Times New Roman" w:eastAsia="Times New Roman" w:hAnsi="Times New Roman" w:cs="Times New Roman"/>
          <w:b/>
          <w:sz w:val="24"/>
          <w:szCs w:val="24"/>
          <w:lang w:val="uk-UA" w:eastAsia="ru-RU"/>
        </w:rPr>
        <w:t>адміністрати</w:t>
      </w:r>
      <w:r w:rsidR="004D6253">
        <w:rPr>
          <w:rFonts w:ascii="Times New Roman" w:eastAsia="Times New Roman" w:hAnsi="Times New Roman" w:cs="Times New Roman"/>
          <w:b/>
          <w:sz w:val="24"/>
          <w:szCs w:val="24"/>
          <w:lang w:val="uk-UA" w:eastAsia="ru-RU"/>
        </w:rPr>
        <w:t xml:space="preserve">вних послуг </w:t>
      </w:r>
      <w:r w:rsidRPr="00074E78">
        <w:rPr>
          <w:rFonts w:ascii="Times New Roman" w:eastAsia="Times New Roman" w:hAnsi="Times New Roman" w:cs="Times New Roman"/>
          <w:b/>
          <w:sz w:val="24"/>
          <w:szCs w:val="24"/>
          <w:lang w:val="uk-UA" w:eastAsia="ru-RU"/>
        </w:rPr>
        <w:t xml:space="preserve">для обов’язкового надання через Центр надання адміністративних послуг виконавчого органу Фонтанської сільської ради </w:t>
      </w:r>
      <w:r w:rsidR="009520DC">
        <w:rPr>
          <w:rFonts w:ascii="Times New Roman" w:eastAsia="Times New Roman" w:hAnsi="Times New Roman" w:cs="Times New Roman"/>
          <w:b/>
          <w:sz w:val="24"/>
          <w:szCs w:val="24"/>
          <w:lang w:val="uk-UA" w:eastAsia="ru-RU"/>
        </w:rPr>
        <w:t xml:space="preserve">   </w:t>
      </w:r>
      <w:r w:rsidRPr="00074E78">
        <w:rPr>
          <w:rFonts w:ascii="Times New Roman" w:eastAsia="Times New Roman" w:hAnsi="Times New Roman" w:cs="Times New Roman"/>
          <w:b/>
          <w:sz w:val="24"/>
          <w:szCs w:val="24"/>
          <w:lang w:val="uk-UA" w:eastAsia="ru-RU"/>
        </w:rPr>
        <w:t>Одеського району Одеської області</w:t>
      </w:r>
      <w:r w:rsidR="0038603C">
        <w:rPr>
          <w:rFonts w:ascii="Times New Roman" w:eastAsia="Times New Roman" w:hAnsi="Times New Roman" w:cs="Times New Roman"/>
          <w:b/>
          <w:sz w:val="24"/>
          <w:szCs w:val="24"/>
          <w:lang w:val="uk-UA" w:eastAsia="ru-RU"/>
        </w:rPr>
        <w:t xml:space="preserve"> </w:t>
      </w:r>
      <w:r w:rsidR="0038603C" w:rsidRPr="0038603C">
        <w:rPr>
          <w:rFonts w:ascii="Times New Roman" w:eastAsia="Times New Roman" w:hAnsi="Times New Roman" w:cs="Times New Roman"/>
          <w:b/>
          <w:sz w:val="24"/>
          <w:szCs w:val="24"/>
          <w:lang w:val="uk-UA" w:eastAsia="ru-RU"/>
        </w:rPr>
        <w:t xml:space="preserve">шляхом використання пересувного віддаленого </w:t>
      </w:r>
    </w:p>
    <w:p w:rsidR="00074E78" w:rsidRPr="00074E78" w:rsidRDefault="0038603C" w:rsidP="000C4687">
      <w:pPr>
        <w:spacing w:line="240" w:lineRule="auto"/>
        <w:jc w:val="center"/>
        <w:rPr>
          <w:rFonts w:ascii="Times New Roman" w:eastAsia="Times New Roman" w:hAnsi="Times New Roman" w:cs="Times New Roman"/>
          <w:b/>
          <w:sz w:val="24"/>
          <w:szCs w:val="24"/>
          <w:lang w:val="uk-UA" w:eastAsia="ru-RU"/>
        </w:rPr>
      </w:pPr>
      <w:r w:rsidRPr="0038603C">
        <w:rPr>
          <w:rFonts w:ascii="Times New Roman" w:eastAsia="Times New Roman" w:hAnsi="Times New Roman" w:cs="Times New Roman"/>
          <w:b/>
          <w:sz w:val="24"/>
          <w:szCs w:val="24"/>
          <w:lang w:val="uk-UA" w:eastAsia="ru-RU"/>
        </w:rPr>
        <w:t>робочого місця адміністратора (мобільного ЦНАП або мобільного кейсу)</w:t>
      </w:r>
    </w:p>
    <w:p w:rsidR="00074E78" w:rsidRPr="00074E78" w:rsidRDefault="00074E78" w:rsidP="00074E78">
      <w:pPr>
        <w:spacing w:before="150" w:after="150" w:line="240" w:lineRule="auto"/>
        <w:ind w:left="142"/>
        <w:rPr>
          <w:rFonts w:ascii="Times New Roman" w:eastAsia="Times New Roman" w:hAnsi="Times New Roman" w:cs="Times New Roman"/>
          <w:sz w:val="24"/>
          <w:szCs w:val="24"/>
          <w:lang w:val="uk-UA" w:eastAsia="uk"/>
        </w:rPr>
      </w:pPr>
      <w:r>
        <w:rPr>
          <w:rFonts w:ascii="Times New Roman" w:eastAsia="Times New Roman" w:hAnsi="Times New Roman" w:cs="Times New Roman"/>
          <w:sz w:val="24"/>
          <w:szCs w:val="24"/>
          <w:lang w:val="uk-UA"/>
        </w:rPr>
        <w:t xml:space="preserve">              </w:t>
      </w:r>
      <w:r w:rsidRPr="00074E78">
        <w:rPr>
          <w:rFonts w:ascii="Times New Roman" w:eastAsia="Times New Roman" w:hAnsi="Times New Roman" w:cs="Times New Roman"/>
          <w:sz w:val="24"/>
          <w:szCs w:val="24"/>
          <w:lang w:val="uk-UA"/>
        </w:rPr>
        <w:t xml:space="preserve">Згідно  </w:t>
      </w:r>
      <w:r w:rsidRPr="00074E78">
        <w:rPr>
          <w:rFonts w:ascii="Times New Roman" w:eastAsia="Times New Roman" w:hAnsi="Times New Roman" w:cs="Times New Roman"/>
          <w:sz w:val="24"/>
          <w:szCs w:val="24"/>
          <w:lang w:val="uk-UA" w:eastAsia="en-US"/>
        </w:rPr>
        <w:t>постанови Кабінету Міністрів України від 01 жовтня 2025 року № 1226 «Деякі питання</w:t>
      </w:r>
      <w:r w:rsidRPr="00D54FEE">
        <w:rPr>
          <w:rFonts w:ascii="Times New Roman" w:eastAsia="Times New Roman" w:hAnsi="Times New Roman" w:cs="Times New Roman"/>
          <w:sz w:val="24"/>
          <w:szCs w:val="24"/>
          <w:lang w:val="uk-UA" w:eastAsia="en-US"/>
        </w:rPr>
        <w:t xml:space="preserve"> </w:t>
      </w:r>
      <w:r w:rsidRPr="00074E78">
        <w:rPr>
          <w:rFonts w:ascii="Times New Roman" w:eastAsia="Times New Roman" w:hAnsi="Times New Roman" w:cs="Times New Roman"/>
          <w:sz w:val="24"/>
          <w:szCs w:val="24"/>
          <w:lang w:val="uk-UA" w:eastAsia="en-US"/>
        </w:rPr>
        <w:t>надання адміністративних послуг через центри надання адміністративних послуг»</w:t>
      </w:r>
      <w:bookmarkStart w:id="2" w:name="n32"/>
      <w:bookmarkStart w:id="3" w:name="n33"/>
      <w:bookmarkEnd w:id="2"/>
      <w:bookmarkEnd w:id="3"/>
    </w:p>
    <w:p w:rsidR="0093223F" w:rsidRPr="00074E78" w:rsidRDefault="0093223F">
      <w:pPr>
        <w:rPr>
          <w:lang w:val="uk-UA"/>
        </w:rPr>
      </w:pPr>
    </w:p>
    <w:tbl>
      <w:tblPr>
        <w:tblStyle w:val="a5"/>
        <w:tblW w:w="10064" w:type="dxa"/>
        <w:tblInd w:w="13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09"/>
        <w:gridCol w:w="1701"/>
        <w:gridCol w:w="7654"/>
      </w:tblGrid>
      <w:tr w:rsidR="0093223F" w:rsidTr="006B0D71">
        <w:trPr>
          <w:trHeight w:val="642"/>
        </w:trPr>
        <w:tc>
          <w:tcPr>
            <w:tcW w:w="709"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з/п</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Ідентифікатор</w:t>
            </w:r>
          </w:p>
        </w:tc>
        <w:tc>
          <w:tcPr>
            <w:tcW w:w="7654"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Найменування послуги</w:t>
            </w:r>
          </w:p>
        </w:tc>
      </w:tr>
      <w:tr w:rsidR="0093223F" w:rsidTr="006B0D71">
        <w:trPr>
          <w:trHeight w:val="207"/>
        </w:trPr>
        <w:tc>
          <w:tcPr>
            <w:tcW w:w="709"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01369 </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Комплексна електронна публічна послуга “єМалятко”</w:t>
            </w:r>
          </w:p>
        </w:tc>
      </w:tr>
      <w:tr w:rsidR="0093223F" w:rsidTr="006B0D71">
        <w:tc>
          <w:tcPr>
            <w:tcW w:w="709"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00034 </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Реєстрація місця проживання</w:t>
            </w:r>
          </w:p>
        </w:tc>
      </w:tr>
      <w:tr w:rsidR="0093223F" w:rsidTr="006B0D71">
        <w:tc>
          <w:tcPr>
            <w:tcW w:w="709"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01217</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Реєстрація місця проживання дитини до 14 років</w:t>
            </w:r>
          </w:p>
        </w:tc>
      </w:tr>
      <w:tr w:rsidR="0093223F" w:rsidTr="006B0D71">
        <w:tc>
          <w:tcPr>
            <w:tcW w:w="709"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00037</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Зняття із реєстрації місця проживання</w:t>
            </w:r>
          </w:p>
        </w:tc>
      </w:tr>
      <w:tr w:rsidR="0093223F" w:rsidTr="006B0D71">
        <w:tc>
          <w:tcPr>
            <w:tcW w:w="709"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00040</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Реєстрація місця перебування</w:t>
            </w:r>
          </w:p>
        </w:tc>
      </w:tr>
      <w:tr w:rsidR="0093223F" w:rsidTr="006B0D71">
        <w:tc>
          <w:tcPr>
            <w:tcW w:w="709"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00038</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Видача витягу з реєстру територіальної громади</w:t>
            </w:r>
          </w:p>
        </w:tc>
      </w:tr>
      <w:tr w:rsidR="0093223F" w:rsidTr="006B0D71">
        <w:tc>
          <w:tcPr>
            <w:tcW w:w="709"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7</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01268</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Повідомна реєстрація галузевих (міжгалузевих) і територіальних угод, колективних договорів</w:t>
            </w:r>
          </w:p>
        </w:tc>
      </w:tr>
      <w:tr w:rsidR="0093223F" w:rsidTr="006B0D71">
        <w:tc>
          <w:tcPr>
            <w:tcW w:w="709"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0098</w:t>
            </w:r>
          </w:p>
          <w:p w:rsidR="0093223F" w:rsidRDefault="0093223F">
            <w:pPr>
              <w:widowControl w:val="0"/>
              <w:pBdr>
                <w:top w:val="nil"/>
                <w:left w:val="nil"/>
                <w:bottom w:val="nil"/>
                <w:right w:val="nil"/>
                <w:between w:val="nil"/>
              </w:pBdr>
              <w:spacing w:line="240" w:lineRule="auto"/>
              <w:ind w:right="-85"/>
              <w:jc w:val="center"/>
              <w:rPr>
                <w:rFonts w:ascii="Times New Roman" w:eastAsia="Times New Roman" w:hAnsi="Times New Roman" w:cs="Times New Roman"/>
                <w:sz w:val="24"/>
                <w:szCs w:val="24"/>
              </w:rPr>
            </w:pP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Внесення змін до актових записів цивільного стану, їх поновлення та припинення їх дії</w:t>
            </w:r>
          </w:p>
        </w:tc>
      </w:tr>
      <w:tr w:rsidR="0093223F" w:rsidTr="006B0D71">
        <w:tc>
          <w:tcPr>
            <w:tcW w:w="709"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9</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00030</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Державна реєстрація народження дитини та її походження</w:t>
            </w:r>
          </w:p>
        </w:tc>
      </w:tr>
      <w:tr w:rsidR="0093223F" w:rsidTr="006B0D71">
        <w:tc>
          <w:tcPr>
            <w:tcW w:w="709"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00031</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Державна реєстрація шлюбу</w:t>
            </w:r>
          </w:p>
        </w:tc>
      </w:tr>
      <w:tr w:rsidR="0093223F" w:rsidTr="006B0D71">
        <w:tc>
          <w:tcPr>
            <w:tcW w:w="709"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00032</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Державна реєстрація розірвання шлюбу</w:t>
            </w:r>
          </w:p>
        </w:tc>
      </w:tr>
      <w:tr w:rsidR="0093223F" w:rsidTr="006B0D71">
        <w:tc>
          <w:tcPr>
            <w:tcW w:w="709"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00868</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Державна реєстрація зміни власного імені</w:t>
            </w:r>
          </w:p>
        </w:tc>
      </w:tr>
      <w:tr w:rsidR="0093223F" w:rsidTr="006B0D71">
        <w:tc>
          <w:tcPr>
            <w:tcW w:w="709"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00033</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Державна реєстрація смерті</w:t>
            </w:r>
          </w:p>
        </w:tc>
      </w:tr>
      <w:tr w:rsidR="0093223F" w:rsidTr="006B0D71">
        <w:tc>
          <w:tcPr>
            <w:tcW w:w="709"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color w:val="2F5496"/>
                <w:sz w:val="24"/>
                <w:szCs w:val="24"/>
              </w:rPr>
              <w:t xml:space="preserve"> </w:t>
            </w:r>
            <w:r>
              <w:rPr>
                <w:rFonts w:ascii="Times New Roman" w:eastAsia="Times New Roman" w:hAnsi="Times New Roman" w:cs="Times New Roman"/>
                <w:sz w:val="24"/>
                <w:szCs w:val="24"/>
              </w:rPr>
              <w:t xml:space="preserve">01418 </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Видача витягу з Державного реєстру актів цивільного стану громадян</w:t>
            </w:r>
          </w:p>
        </w:tc>
      </w:tr>
      <w:tr w:rsidR="0093223F" w:rsidTr="006B0D71">
        <w:tc>
          <w:tcPr>
            <w:tcW w:w="709"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15</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01854</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Повторна видача свідоцтва про державну реєстрацію акта цивільного стану</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widowControl w:val="0"/>
              <w:pBdr>
                <w:top w:val="nil"/>
                <w:left w:val="nil"/>
                <w:bottom w:val="nil"/>
                <w:right w:val="nil"/>
                <w:between w:val="nil"/>
              </w:pBdr>
              <w:spacing w:line="240" w:lineRule="auto"/>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16</w:t>
            </w:r>
          </w:p>
        </w:tc>
        <w:tc>
          <w:tcPr>
            <w:tcW w:w="1701" w:type="dxa"/>
            <w:shd w:val="clear" w:color="auto" w:fill="auto"/>
            <w:tcMar>
              <w:top w:w="100" w:type="dxa"/>
              <w:left w:w="100" w:type="dxa"/>
              <w:bottom w:w="100" w:type="dxa"/>
              <w:right w:w="100" w:type="dxa"/>
            </w:tcMar>
          </w:tcPr>
          <w:p w:rsidR="0093223F" w:rsidRDefault="00385E0F">
            <w:pPr>
              <w:widowControl w:val="0"/>
              <w:pBdr>
                <w:top w:val="nil"/>
                <w:left w:val="nil"/>
                <w:bottom w:val="nil"/>
                <w:right w:val="nil"/>
                <w:between w:val="nil"/>
              </w:pBdr>
              <w:spacing w:line="240" w:lineRule="auto"/>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02266 </w:t>
            </w:r>
          </w:p>
        </w:tc>
        <w:tc>
          <w:tcPr>
            <w:tcW w:w="7654" w:type="dxa"/>
            <w:shd w:val="clear" w:color="auto" w:fill="auto"/>
            <w:tcMar>
              <w:top w:w="100" w:type="dxa"/>
              <w:left w:w="100" w:type="dxa"/>
              <w:bottom w:w="100" w:type="dxa"/>
              <w:right w:w="100" w:type="dxa"/>
            </w:tcMar>
          </w:tcPr>
          <w:p w:rsidR="0093223F" w:rsidRDefault="00385E0F">
            <w:pPr>
              <w:widowControl w:val="0"/>
              <w:pBdr>
                <w:top w:val="nil"/>
                <w:left w:val="nil"/>
                <w:bottom w:val="nil"/>
                <w:right w:val="nil"/>
                <w:between w:val="nil"/>
              </w:pBdr>
              <w:spacing w:line="240" w:lineRule="auto"/>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Надання відомостей з Єдиного державного реєстру ветеранів війни </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widowControl w:val="0"/>
              <w:pBdr>
                <w:top w:val="nil"/>
                <w:left w:val="nil"/>
                <w:bottom w:val="nil"/>
                <w:right w:val="nil"/>
                <w:between w:val="nil"/>
              </w:pBdr>
              <w:spacing w:line="240" w:lineRule="auto"/>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lastRenderedPageBreak/>
              <w:t>17</w:t>
            </w:r>
          </w:p>
        </w:tc>
        <w:tc>
          <w:tcPr>
            <w:tcW w:w="1701" w:type="dxa"/>
            <w:shd w:val="clear" w:color="auto" w:fill="auto"/>
            <w:tcMar>
              <w:top w:w="100" w:type="dxa"/>
              <w:left w:w="100" w:type="dxa"/>
              <w:bottom w:w="100" w:type="dxa"/>
              <w:right w:w="100" w:type="dxa"/>
            </w:tcMar>
          </w:tcPr>
          <w:p w:rsidR="0093223F" w:rsidRDefault="00385E0F">
            <w:pPr>
              <w:widowControl w:val="0"/>
              <w:pBdr>
                <w:top w:val="nil"/>
                <w:left w:val="nil"/>
                <w:bottom w:val="nil"/>
                <w:right w:val="nil"/>
                <w:between w:val="nil"/>
              </w:pBdr>
              <w:spacing w:line="240" w:lineRule="auto"/>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02596 </w:t>
            </w:r>
          </w:p>
        </w:tc>
        <w:tc>
          <w:tcPr>
            <w:tcW w:w="7654" w:type="dxa"/>
            <w:shd w:val="clear" w:color="auto" w:fill="auto"/>
            <w:tcMar>
              <w:top w:w="100" w:type="dxa"/>
              <w:left w:w="100" w:type="dxa"/>
              <w:bottom w:w="100" w:type="dxa"/>
              <w:right w:w="100" w:type="dxa"/>
            </w:tcMar>
          </w:tcPr>
          <w:p w:rsidR="0093223F" w:rsidRDefault="00385E0F">
            <w:pPr>
              <w:widowControl w:val="0"/>
              <w:spacing w:line="240" w:lineRule="auto"/>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Видача посвідчення особи з інвалідністю внаслідок війни</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widowControl w:val="0"/>
              <w:pBdr>
                <w:top w:val="nil"/>
                <w:left w:val="nil"/>
                <w:bottom w:val="nil"/>
                <w:right w:val="nil"/>
                <w:between w:val="nil"/>
              </w:pBdr>
              <w:spacing w:line="240" w:lineRule="auto"/>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18</w:t>
            </w:r>
          </w:p>
        </w:tc>
        <w:tc>
          <w:tcPr>
            <w:tcW w:w="1701" w:type="dxa"/>
            <w:shd w:val="clear" w:color="auto" w:fill="auto"/>
            <w:tcMar>
              <w:top w:w="100" w:type="dxa"/>
              <w:left w:w="100" w:type="dxa"/>
              <w:bottom w:w="100" w:type="dxa"/>
              <w:right w:w="100" w:type="dxa"/>
            </w:tcMar>
          </w:tcPr>
          <w:p w:rsidR="0093223F" w:rsidRDefault="00385E0F">
            <w:pPr>
              <w:widowControl w:val="0"/>
              <w:pBdr>
                <w:top w:val="nil"/>
                <w:left w:val="nil"/>
                <w:bottom w:val="nil"/>
                <w:right w:val="nil"/>
                <w:between w:val="nil"/>
              </w:pBdr>
              <w:spacing w:line="240" w:lineRule="auto"/>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02597 </w:t>
            </w:r>
          </w:p>
        </w:tc>
        <w:tc>
          <w:tcPr>
            <w:tcW w:w="7654" w:type="dxa"/>
            <w:shd w:val="clear" w:color="auto" w:fill="auto"/>
            <w:tcMar>
              <w:top w:w="100" w:type="dxa"/>
              <w:left w:w="100" w:type="dxa"/>
              <w:bottom w:w="100" w:type="dxa"/>
              <w:right w:w="100" w:type="dxa"/>
            </w:tcMar>
          </w:tcPr>
          <w:p w:rsidR="0093223F" w:rsidRDefault="00385E0F">
            <w:pPr>
              <w:widowControl w:val="0"/>
              <w:pBdr>
                <w:top w:val="nil"/>
                <w:left w:val="nil"/>
                <w:bottom w:val="nil"/>
                <w:right w:val="nil"/>
                <w:between w:val="nil"/>
              </w:pBdr>
              <w:spacing w:line="240" w:lineRule="auto"/>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Встановлення статусу члена сім’ї загиблого (померлого) ветерана війни </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widowControl w:val="0"/>
              <w:pBdr>
                <w:top w:val="nil"/>
                <w:left w:val="nil"/>
                <w:bottom w:val="nil"/>
                <w:right w:val="nil"/>
                <w:between w:val="nil"/>
              </w:pBdr>
              <w:spacing w:line="240" w:lineRule="auto"/>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19</w:t>
            </w:r>
          </w:p>
        </w:tc>
        <w:tc>
          <w:tcPr>
            <w:tcW w:w="1701" w:type="dxa"/>
            <w:shd w:val="clear" w:color="auto" w:fill="auto"/>
            <w:tcMar>
              <w:top w:w="100" w:type="dxa"/>
              <w:left w:w="100" w:type="dxa"/>
              <w:bottom w:w="100" w:type="dxa"/>
              <w:right w:w="100" w:type="dxa"/>
            </w:tcMar>
          </w:tcPr>
          <w:p w:rsidR="0093223F" w:rsidRDefault="00385E0F">
            <w:pPr>
              <w:widowControl w:val="0"/>
              <w:pBdr>
                <w:top w:val="nil"/>
                <w:left w:val="nil"/>
                <w:bottom w:val="nil"/>
                <w:right w:val="nil"/>
                <w:between w:val="nil"/>
              </w:pBdr>
              <w:spacing w:line="240" w:lineRule="auto"/>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02598 </w:t>
            </w:r>
          </w:p>
        </w:tc>
        <w:tc>
          <w:tcPr>
            <w:tcW w:w="7654" w:type="dxa"/>
            <w:shd w:val="clear" w:color="auto" w:fill="auto"/>
            <w:tcMar>
              <w:top w:w="100" w:type="dxa"/>
              <w:left w:w="100" w:type="dxa"/>
              <w:bottom w:w="100" w:type="dxa"/>
              <w:right w:w="100" w:type="dxa"/>
            </w:tcMar>
          </w:tcPr>
          <w:p w:rsidR="0093223F" w:rsidRDefault="00385E0F">
            <w:pPr>
              <w:widowControl w:val="0"/>
              <w:pBdr>
                <w:top w:val="nil"/>
                <w:left w:val="nil"/>
                <w:bottom w:val="nil"/>
                <w:right w:val="nil"/>
                <w:between w:val="nil"/>
              </w:pBdr>
              <w:spacing w:line="240" w:lineRule="auto"/>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Продовження строку дії посвідчення особи з інвалідністю внаслідок війни </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widowControl w:val="0"/>
              <w:pBdr>
                <w:top w:val="nil"/>
                <w:left w:val="nil"/>
                <w:bottom w:val="nil"/>
                <w:right w:val="nil"/>
                <w:between w:val="nil"/>
              </w:pBdr>
              <w:spacing w:line="240" w:lineRule="auto"/>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20</w:t>
            </w:r>
          </w:p>
        </w:tc>
        <w:tc>
          <w:tcPr>
            <w:tcW w:w="1701" w:type="dxa"/>
            <w:shd w:val="clear" w:color="auto" w:fill="auto"/>
            <w:tcMar>
              <w:top w:w="100" w:type="dxa"/>
              <w:left w:w="100" w:type="dxa"/>
              <w:bottom w:w="100" w:type="dxa"/>
              <w:right w:w="100" w:type="dxa"/>
            </w:tcMar>
          </w:tcPr>
          <w:p w:rsidR="0093223F" w:rsidRDefault="00385E0F">
            <w:pPr>
              <w:widowControl w:val="0"/>
              <w:pBdr>
                <w:top w:val="nil"/>
                <w:left w:val="nil"/>
                <w:bottom w:val="nil"/>
                <w:right w:val="nil"/>
                <w:between w:val="nil"/>
              </w:pBdr>
              <w:spacing w:line="240" w:lineRule="auto"/>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02599 </w:t>
            </w:r>
          </w:p>
        </w:tc>
        <w:tc>
          <w:tcPr>
            <w:tcW w:w="7654" w:type="dxa"/>
            <w:shd w:val="clear" w:color="auto" w:fill="auto"/>
            <w:tcMar>
              <w:top w:w="100" w:type="dxa"/>
              <w:left w:w="100" w:type="dxa"/>
              <w:bottom w:w="100" w:type="dxa"/>
              <w:right w:w="100" w:type="dxa"/>
            </w:tcMar>
          </w:tcPr>
          <w:p w:rsidR="0093223F" w:rsidRDefault="00385E0F">
            <w:pPr>
              <w:widowControl w:val="0"/>
              <w:pBdr>
                <w:top w:val="nil"/>
                <w:left w:val="nil"/>
                <w:bottom w:val="nil"/>
                <w:right w:val="nil"/>
                <w:between w:val="nil"/>
              </w:pBdr>
              <w:spacing w:line="240" w:lineRule="auto"/>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Видача посвідчення члена сім’ї загиблого (померлого) ветерана війни та члена сім’ї загиблого (померлого) Захисника чи Захисниці України </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widowControl w:val="0"/>
              <w:pBdr>
                <w:top w:val="nil"/>
                <w:left w:val="nil"/>
                <w:bottom w:val="nil"/>
                <w:right w:val="nil"/>
                <w:between w:val="nil"/>
              </w:pBdr>
              <w:spacing w:line="240" w:lineRule="auto"/>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21</w:t>
            </w:r>
          </w:p>
        </w:tc>
        <w:tc>
          <w:tcPr>
            <w:tcW w:w="1701" w:type="dxa"/>
            <w:shd w:val="clear" w:color="auto" w:fill="auto"/>
            <w:tcMar>
              <w:top w:w="100" w:type="dxa"/>
              <w:left w:w="100" w:type="dxa"/>
              <w:bottom w:w="100" w:type="dxa"/>
              <w:right w:w="100" w:type="dxa"/>
            </w:tcMar>
          </w:tcPr>
          <w:p w:rsidR="0093223F" w:rsidRDefault="00385E0F">
            <w:pPr>
              <w:widowControl w:val="0"/>
              <w:pBdr>
                <w:top w:val="nil"/>
                <w:left w:val="nil"/>
                <w:bottom w:val="nil"/>
                <w:right w:val="nil"/>
                <w:between w:val="nil"/>
              </w:pBdr>
              <w:spacing w:line="240" w:lineRule="auto"/>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02600 </w:t>
            </w:r>
          </w:p>
        </w:tc>
        <w:tc>
          <w:tcPr>
            <w:tcW w:w="7654" w:type="dxa"/>
            <w:shd w:val="clear" w:color="auto" w:fill="auto"/>
            <w:tcMar>
              <w:top w:w="100" w:type="dxa"/>
              <w:left w:w="100" w:type="dxa"/>
              <w:bottom w:w="100" w:type="dxa"/>
              <w:right w:w="100" w:type="dxa"/>
            </w:tcMar>
          </w:tcPr>
          <w:p w:rsidR="0093223F" w:rsidRDefault="00385E0F">
            <w:pPr>
              <w:widowControl w:val="0"/>
              <w:pBdr>
                <w:top w:val="nil"/>
                <w:left w:val="nil"/>
                <w:bottom w:val="nil"/>
                <w:right w:val="nil"/>
                <w:between w:val="nil"/>
              </w:pBdr>
              <w:spacing w:line="240" w:lineRule="auto"/>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Продовження строку дії посвідчення члена сім’ї загиблого (померлого) ветерана війни та члена сім’ї загиблого (померлого) Захисника чи Захисниці України </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widowControl w:val="0"/>
              <w:pBdr>
                <w:top w:val="nil"/>
                <w:left w:val="nil"/>
                <w:bottom w:val="nil"/>
                <w:right w:val="nil"/>
                <w:between w:val="nil"/>
              </w:pBdr>
              <w:spacing w:line="240" w:lineRule="auto"/>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22</w:t>
            </w:r>
          </w:p>
        </w:tc>
        <w:tc>
          <w:tcPr>
            <w:tcW w:w="1701" w:type="dxa"/>
            <w:shd w:val="clear" w:color="auto" w:fill="auto"/>
            <w:tcMar>
              <w:top w:w="100" w:type="dxa"/>
              <w:left w:w="100" w:type="dxa"/>
              <w:bottom w:w="100" w:type="dxa"/>
              <w:right w:w="100" w:type="dxa"/>
            </w:tcMar>
          </w:tcPr>
          <w:p w:rsidR="0093223F" w:rsidRDefault="00385E0F">
            <w:pPr>
              <w:widowControl w:val="0"/>
              <w:pBdr>
                <w:top w:val="nil"/>
                <w:left w:val="nil"/>
                <w:bottom w:val="nil"/>
                <w:right w:val="nil"/>
                <w:between w:val="nil"/>
              </w:pBdr>
              <w:spacing w:line="240" w:lineRule="auto"/>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02545 </w:t>
            </w:r>
          </w:p>
        </w:tc>
        <w:tc>
          <w:tcPr>
            <w:tcW w:w="7654" w:type="dxa"/>
            <w:shd w:val="clear" w:color="auto" w:fill="auto"/>
            <w:tcMar>
              <w:top w:w="100" w:type="dxa"/>
              <w:left w:w="100" w:type="dxa"/>
              <w:bottom w:w="100" w:type="dxa"/>
              <w:right w:w="100" w:type="dxa"/>
            </w:tcMar>
          </w:tcPr>
          <w:p w:rsidR="0093223F" w:rsidRDefault="00385E0F">
            <w:pPr>
              <w:widowControl w:val="0"/>
              <w:pBdr>
                <w:top w:val="nil"/>
                <w:left w:val="nil"/>
                <w:bottom w:val="nil"/>
                <w:right w:val="nil"/>
                <w:between w:val="nil"/>
              </w:pBdr>
              <w:spacing w:line="240" w:lineRule="auto"/>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Встановлення статусу учасника бойових дій, видача посвідчення особам, які з 24 лютого по 25 березня 2022 р. відповідно до Закону України “Про забезпечення участі цивільних осіб у захисті України” або у складі добровольчих формувань брали участь у здійсненні заходів, необхідних для забезпечення оборони України, захисту безпеки населення та інтересів держави у зв’язку з військовою агресією Російської Федерації проти України, перебуваючи безпосередньо в районах та у період здійснення зазначених заходів </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23</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02546</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одноразової грошової допомоги членам сімей загиблих (померлих) Захисників і Захисниць України</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24</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02544</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Встановлення факту безпосередньої участі у заходах, необхідних для забезпечення оборони України, захисту безпеки населення та інтересів держави у зв’язку з військовою агресією Російської Федерації проти України</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25</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01586</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Видача направлення для отримання послуги з професійної адаптації осіб, які звільняються або звільнені з військової служби, з числа ветеранів війни, осіб, які мають особливі заслуги перед Батьківщиною, членів сімей таких осіб, членів сімей загиблих (померлих) ветеранів війни, членів сімей загиблих (померлих) Захисників та Захисниць України</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26</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00237</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Встановлення статусу члена сім’ї загиблого (померлого) Захисника чи Захисниці України</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27</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00241</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Встановлення статусу особи з інвалідністю внаслідок війни</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28</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01286</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Встановлення статусу учасника бойових дій, видача посвідчення особам, які у період до 23 лютого 2018 р. включно у складі добровольчих формувань брали безпосередню участь в антитерористичній операції</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29</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01877</w:t>
            </w:r>
          </w:p>
          <w:p w:rsidR="0093223F" w:rsidRDefault="0093223F">
            <w:pPr>
              <w:widowControl w:val="0"/>
              <w:pBdr>
                <w:top w:val="nil"/>
                <w:left w:val="nil"/>
                <w:bottom w:val="nil"/>
                <w:right w:val="nil"/>
                <w:between w:val="nil"/>
              </w:pBdr>
              <w:spacing w:line="240" w:lineRule="auto"/>
              <w:ind w:right="-85"/>
              <w:jc w:val="center"/>
              <w:rPr>
                <w:rFonts w:ascii="Times New Roman" w:eastAsia="Times New Roman" w:hAnsi="Times New Roman" w:cs="Times New Roman"/>
                <w:sz w:val="24"/>
                <w:szCs w:val="24"/>
              </w:rPr>
            </w:pP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Призначення одноразової грошової допомоги у разі інвалідності волонтера внаслідок поранення (контузії, травми або каліцтва), отриманого під час надання волонтерської допомоги в районі </w:t>
            </w:r>
            <w:r>
              <w:rPr>
                <w:rFonts w:ascii="Times New Roman" w:eastAsia="Times New Roman" w:hAnsi="Times New Roman" w:cs="Times New Roman"/>
                <w:sz w:val="24"/>
                <w:szCs w:val="24"/>
              </w:rPr>
              <w:lastRenderedPageBreak/>
              <w:t>проведення антитерористичної операції, здійснення заходів із забезпечення національної безпеки і оборони, відсічі і стримування збройної агресії Російської Федерації у Донецькій та Луганській областях, здійснення заходів, необхідних для забезпечення оборони України, захисту безпеки населення та інтересів держави у зв’язку з військовою агресією Російської Федерації проти України та/або іншої країни проти України, бойових дій та збройного конфлікту</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lastRenderedPageBreak/>
              <w:t>30</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00239</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Встановлення статусу учасника війни, видача посвідчення</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31</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01597</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Видача нового посвідчення особи з інвалідністю внаслідок війни, учасника війни, члена сім’ї загиблого (померлого) ветерана війни, члена сім’ї загиблого (померлого) Захисника чи Захисниці України, постраждалого учасника Революції Гідності замість непридатного/втраченого та у разі зміни персональних даних</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32</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02499</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Позбавлення статусу особи з інвалідністю внаслідок війни, члена сім’ї загиблого (померлого) Захисника чи Захисниці України за заявою такої особи</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33</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00105</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одноразової грошової допомоги членам сім’ї, батькам та утриманцям волонтера, загиблого (померлого) внаслідок поранення (контузії, травми або каліцтва), отриманого під час надання волонтерської допомоги в районі проведення антитерористичної операції, здійснення заходів із забезпечення національної безпеки і оборони, відсічі і стримування збройної агресії Російської Федерації у Донецькій та Луганській областях, здійснення заходів, необхідних для забезпечення оборони України, захисту безпеки населення та інтересів держави у зв’язку з військовою агресією Російської Федерації проти України та/або іншої країни проти України, бойових дій та збройного конфлікту</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34</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02502</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одноразової грошової допомоги особам з інвалідністю внаслідок війни, зазначеним у пунктах 11—16 частини другої статті 7 Закону України “Про статус ветеранів війни, гарантії їх соціального захисту”</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color w:val="2F5496"/>
                <w:sz w:val="24"/>
                <w:szCs w:val="24"/>
                <w:lang w:val="uk-UA"/>
              </w:rPr>
            </w:pPr>
            <w:r w:rsidRPr="006B0D71">
              <w:rPr>
                <w:rFonts w:ascii="Times New Roman" w:eastAsia="Times New Roman" w:hAnsi="Times New Roman" w:cs="Times New Roman"/>
                <w:sz w:val="24"/>
                <w:szCs w:val="24"/>
                <w:lang w:val="uk-UA"/>
              </w:rPr>
              <w:t>35</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color w:val="2F5496"/>
                <w:sz w:val="24"/>
                <w:szCs w:val="24"/>
              </w:rPr>
              <w:t xml:space="preserve"> </w:t>
            </w:r>
            <w:r>
              <w:rPr>
                <w:rFonts w:ascii="Times New Roman" w:eastAsia="Times New Roman" w:hAnsi="Times New Roman" w:cs="Times New Roman"/>
                <w:sz w:val="24"/>
                <w:szCs w:val="24"/>
              </w:rPr>
              <w:t>01284</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Встановлення факту отримання особами поранень чи інших ушкоджень здоров’я, одержаних від вибухонебезпечних предметів, на території проведення антитерористичної операції, здійснення заходів із забезпечення національної безпеки і оборони, відсічі і стримування збройної агресії Російської Федерації у Донецькій та Луганській областях, заходів, необхідних для забезпечення оборони України, захисту безпеки населення та інтересів держави у зв’язку з військовою агресією Російської Федерації проти України</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36</w:t>
            </w:r>
          </w:p>
        </w:tc>
        <w:tc>
          <w:tcPr>
            <w:tcW w:w="1701" w:type="dxa"/>
            <w:shd w:val="clear" w:color="auto" w:fill="auto"/>
            <w:tcMar>
              <w:top w:w="100" w:type="dxa"/>
              <w:left w:w="100" w:type="dxa"/>
              <w:bottom w:w="100" w:type="dxa"/>
              <w:right w:w="100" w:type="dxa"/>
            </w:tcMar>
          </w:tcPr>
          <w:p w:rsidR="0093223F" w:rsidRDefault="0093223F">
            <w:pPr>
              <w:ind w:right="-85"/>
              <w:jc w:val="center"/>
              <w:rPr>
                <w:rFonts w:ascii="Times New Roman" w:eastAsia="Times New Roman" w:hAnsi="Times New Roman" w:cs="Times New Roman"/>
                <w:sz w:val="24"/>
                <w:szCs w:val="24"/>
              </w:rPr>
            </w:pPr>
          </w:p>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01588</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Встановлення статусу постраждалого учасника Революції Гідності, </w:t>
            </w:r>
            <w:r>
              <w:rPr>
                <w:rFonts w:ascii="Times New Roman" w:eastAsia="Times New Roman" w:hAnsi="Times New Roman" w:cs="Times New Roman"/>
                <w:sz w:val="24"/>
                <w:szCs w:val="24"/>
              </w:rPr>
              <w:lastRenderedPageBreak/>
              <w:t>видача посвідчення</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lastRenderedPageBreak/>
              <w:t>37</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01598</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Позбавлення статусу постраждалого учасника Революції Гідності за заявою особи</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38</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01285</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Позбавлення статусу учасника бойових дій за заявою такої особи</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39</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02606</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Виплата грошової компенсації особам, які захищали незалежність, суверенітет та територіальну цілісність України, за найм (оренду) ними житлових приміщень</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40</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02607</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Заміна посвідчення учасника бойових дій, виданого Мінветеранів, на нове через його непридатність, втрату або зміну персональних даних</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41</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02347</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разової грошової виплати до Дня Незалежності України особам, визначеним Законом України “Про захист ветеранів війни, гарантії їх соціального захисту” та Законом України “Про жертви нацистських переслідувань”</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42</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01746</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Прийняття рішення про надання грошової компенсації постраждалим особам, житлові будинки (квартири) яких зруйновано внаслідок надзвичайної ситуації воєнного характеру, спричиненої збройною агресією Російської Федерації</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43</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02540</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Взяття на облік для виплати компенсації вартості самостійного санаторно-курортного лікування осіб, стосовно яких встановлено факт позбавлення особистої свободи внаслідок збройної агресії проти України</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44</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01392</w:t>
            </w:r>
          </w:p>
          <w:p w:rsidR="0093223F" w:rsidRDefault="0093223F">
            <w:pPr>
              <w:widowControl w:val="0"/>
              <w:pBdr>
                <w:top w:val="nil"/>
                <w:left w:val="nil"/>
                <w:bottom w:val="nil"/>
                <w:right w:val="nil"/>
                <w:between w:val="nil"/>
              </w:pBdr>
              <w:spacing w:line="240" w:lineRule="auto"/>
              <w:ind w:right="-85"/>
              <w:jc w:val="center"/>
              <w:rPr>
                <w:rFonts w:ascii="Times New Roman" w:eastAsia="Times New Roman" w:hAnsi="Times New Roman" w:cs="Times New Roman"/>
                <w:sz w:val="24"/>
                <w:szCs w:val="24"/>
              </w:rPr>
            </w:pP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Внесення до Реєстру осіб, які мають право на пільги, відомостей про фізичних осіб, які мають право на пільги за соціальною ознакою відповідно до законів України, отримують пільги, передбачені для педагогічних, медичних, фармацевтичних працівників, працівників бібліотек, музеїв, спеціалістів із захисту рослин і працівників культури в сільській місцевості та членів сім’ї чи опікуна, на яких поширюється пільга</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45</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02542</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тимчасової допомоги на дітей, щодо яких встановлено факт відсутності батьківського піклування та які тимчасово влаштовані в сім’ю родичів, знайомих, прийомну сім’ю або дитячий будинок сімейного типу, “Дитина не одна”</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46</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00036</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Взяття на облік громадян, які потребують поліпшення житлових умов</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47</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01471</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Взяття на облік громадян, які потребують надання житлового приміщення з фондів житла для тимчасового проживання</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48</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00751</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Встановлення статусу, видача посвідчень ветеранам праці</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lastRenderedPageBreak/>
              <w:t>49</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01257</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Взяття на облік внутрішньо переміщених осіб, які потребують надання житлового приміщення з фондів житла для тимчасового проживання</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50</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00169</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Видача довідки про взяття на облік внутрішньо переміщеної особи</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51</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01622</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грошової компенсації за належні для отримання жилі приміщення</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52</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02417</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Надання допомоги на проживання внутрішньо переміщеним особам</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53</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01433</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Рішення про продовження строку надання житлового приміщення з фондів житла для тимчасового проживання внутрішньо переміщених осіб</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54</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01262</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Надання статусу дитини, яка постраждала внаслідок воєнних дій та збройних конфліктів</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55</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00121</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Установлення статусу, видача посвідчень батькам багатодітної сім’ї та дитини з багатодітної сім’ї</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56</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01200</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Вклейка фотокартки в посвідчення дитини з багатодітної сім’ї у зв’язку з досягненням 14-річного віку</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57</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01194</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Видача дубліката посвідчення батьків багатодітної сім’ї та дитини з багатодітної сім’ї</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58</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01196</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Продовження строку дії посвідчень батьків багатодітної сім’ї та дитини з багатодітної сім’ї</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59</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00135</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одноразової винагороди жінкам, яким присвоєно почесне звання України “Мати-героїня”</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60</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00144</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державної допомоги при народженні дитини</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61</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00143</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державної допомоги у зв’язку з вагітністю та пологами жінкам, які не застраховані в системі загальнообов’язкового державного соціального страхування</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62</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00149</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державної допомоги на дітей, над якими встановлено опіку чи піклування</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63</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00150</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державної допомоги на дітей одиноким матерям</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64</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00147</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державної допомоги при усиновленні дитини</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65</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00959</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державної допомоги одному з батьків, усиновлювачам, опікунам, піклувальникам, одному з прийомних батьків, батькам-вихователям, які доглядають за хворою дитиною, якій не встановлено інвалідність</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lastRenderedPageBreak/>
              <w:t>66</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00960</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державної допомоги на дітей, які виховуються у багатодітних сім’ях</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67</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01775</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Видача одноразової натуральної допомоги “пакунок малюка”</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68</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01227</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грошової компенсації вартості одноразової натуральної допомоги “пакунок малюка”</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69</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00154</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тимчасової державної допомоги дітям, батьки яких ухиляються від сплати аліментів, не мають можливості утримувати дитину або місце їх проживання чи перебування невідоме</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70</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00122</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Видача особі подання про можливість призначення її опікуном або піклувальником повнолітньої недієздатної особи або особи, цивільна дієздатність якої обмежена</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71</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01405</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Оплата послуги патронату над дитиною та виплата соціальної допомоги на утримання дитини в сім’ї патронатного вихователя</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72</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01386</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і виплата державної соціальної допомоги на дітей-сиріт та дітей, позбавлених батьківського піклування, грошового забезпечення батькам-вихователям і прийомним батькам за надання соціальних послуг у дитячих будинках сімейного типу та прийомних сім’ях за принципом “гроші ходять за дитиною”</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73</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01265</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Прийняття рішення (згоди) про проведення психіатричного огляду або надання психіатричної допомоги особі віком до 14 років у разі незгоди одного з батьків або за відсутності батьків</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74</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00119</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Видача направлення на забезпечення допоміжними засобами реабілітації (технічними та іншими засобами реабілітації) осіб з інвалідністю, дітей з інвалідністю та інших категорій осіб</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75</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00242</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Видача посвідчення особам з інвалідністю з дитинства та дітям з інвалідністю</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76</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00225</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грошової компенсації особам з інвалідністю на бензин, ремонт і технічне обслуговування автомобілів та на транспортне обслуговування</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77</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01255</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грошової компенсації замість санаторно-курортної путівки особам з інвалідністю внаслідок війни та прирівняним до них особам</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78</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00221</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грошової компенсації особам з інвалідністю замість санаторно-курортної путівки</w:t>
            </w:r>
          </w:p>
        </w:tc>
      </w:tr>
      <w:tr w:rsidR="0093223F" w:rsidTr="006B0D71">
        <w:tc>
          <w:tcPr>
            <w:tcW w:w="709" w:type="dxa"/>
            <w:shd w:val="clear" w:color="auto" w:fill="auto"/>
            <w:tcMar>
              <w:top w:w="100" w:type="dxa"/>
              <w:left w:w="100" w:type="dxa"/>
              <w:bottom w:w="100" w:type="dxa"/>
              <w:right w:w="100" w:type="dxa"/>
            </w:tcMar>
          </w:tcPr>
          <w:p w:rsidR="0093223F" w:rsidRPr="009520DC" w:rsidRDefault="009520DC">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79</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00222</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Призначення грошової компенсації вартості проїзду до санаторно-курортного закладу (відділення спинального профілю) і назад особам, </w:t>
            </w:r>
            <w:r>
              <w:rPr>
                <w:rFonts w:ascii="Times New Roman" w:eastAsia="Times New Roman" w:hAnsi="Times New Roman" w:cs="Times New Roman"/>
                <w:sz w:val="24"/>
                <w:szCs w:val="24"/>
              </w:rPr>
              <w:lastRenderedPageBreak/>
              <w:t>які супроводжують осіб з інвалідністю I та II групи з наслідками травм і захворюваннями хребта та спинного мозку</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lastRenderedPageBreak/>
              <w:t>80</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00223</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грошової компенсації вартості самостійного санаторно-курортного лікування осіб з інвалідністю</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81</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00224</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грошової компенсації замість санаторно-курортної путівки громадянам, які постраждали внаслідок Чорнобильської катастрофи</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82</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00226</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Взяття на облік для забезпечення санаторно-курортним лікуванням (путівками) осіб з інвалідністю</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83</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00229</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Взяття на облік для забезпечення санаторно-курортним лікуванням (путівками) громадян, які постраждали внаслідок Чорнобильської катастрофи</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84</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00220</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грошової компенсації вартості проїзду до санаторно-курортного закладу і назад особам з інвалідністю внаслідок війни та прирівняним до них особам</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85</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00151</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державної соціальної допомоги особам з інвалідністю з дитинства та дітям з інвалідністю</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86</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00103</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грошової допомоги особі, яка проживає разом з особою з інвалідністю I чи II групи внаслідок психічного розладу, яка за висновком лікарсько-консультативної комісії закладу охорони здоров’я потребує постійного стороннього догляду, на догляд за нею</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87</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00099</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державної соціальної допомоги на догляд</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88</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00096</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державної соціальної допомоги особам, які не мають права на пенсію, та особам з інвалідністю</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89</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00141</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Видача довідки для отримання пільг особам з інвалідністю, які не мають права на пенсію чи соціальну допомогу</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90</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00152</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надбавки на догляд за особами з інвалідністю з дитинства та дітьми з інвалідністю</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91</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00230</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Встановлення статусу, видача посвідчень особам, які постраждали внаслідок Чорнобильської катастрофи (відповідно до визначених категорій)</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92</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01404</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Компенсація вартості продуктів харчування громадянам, які постраждали внаслідок Чорнобильської катастрофи</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93</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00232</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Призначення компенсацій та допомоги учасникам ліквідації наслідків аварії на Чорнобильській АЕС, громадянам, які брали участь у </w:t>
            </w:r>
            <w:r>
              <w:rPr>
                <w:rFonts w:ascii="Times New Roman" w:eastAsia="Times New Roman" w:hAnsi="Times New Roman" w:cs="Times New Roman"/>
                <w:sz w:val="24"/>
                <w:szCs w:val="24"/>
              </w:rPr>
              <w:lastRenderedPageBreak/>
              <w:t>ліквідації інших ядерних аварій та випробувань, у військових навчаннях із застосуванням ядерної зброї, у складанні ядерних зарядів та здійсненні на них регламентних робіт, віднесеним до категорії 1, або 2, або 3, потерпілим від Чорнобильської катастрофи, віднесеним до категорії 1, або 2, або 3, потерпілим від радіаційного опромінення, віднесеним до категорії 1 або 2</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lastRenderedPageBreak/>
              <w:t>94</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00171</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одноразової компенсації батькам померлого учасника ліквідації наслідків аварії на Чорнобильській АЕС, смерть якого пов’язана з Чорнобильською катастрофою</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95</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01191</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одноразової компенсації дружинам (чоловікам), якщо та (той) не одружилися вдруге, померлих громадян, смерть яких пов’язана з Чорнобильською катастрофою, участю в ліквідації наслідків інших ядерних аварій, у ядерних випробуваннях, військових навчаннях із застосуванням ядерної зброї, у складанні ядерних зарядів та здійсненні на них регламентних робіт</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96</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00172</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одноразової компенсації сім’ям, які втратили годувальника із числа учасників ліквідації наслідків аварії на Чорнобильській АЕС, смерть яких пов’язана з Чорнобильською катастрофою</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97</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00170</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компенсацій та допомоги дітям, які потерпіли від Чорнобильської катастрофи, дітям з інвалідністю, інвалідність яких пов’язана з Чорнобильською катастрофою, та їх батькам</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98</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00133</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державної соціальної допомоги малозабезпеченим сім’ям</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99</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01974</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пільги на оплату житлово-комунальних послуг</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100</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00101</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компенсації за догляд фізичній особі, яка надає соціальні послуги з догляду без провадження підприємницької діяльності на непрофесійній основі</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101</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00139</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Прийняття рішення щодо надання соціальних послуг</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102</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00155</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Надання субсидій для відшкодування витрат на оплату житлово-комунальних послуг, придбання скрапленого газу, твердого та рідкого пічного побутового палива</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103</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02025</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Продовження виплати тимчасової державної соціальної допомоги непрацюючій особі, яка досягла загального пенсійного віку, але не набула права на пенсійну виплату</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104</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00157</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Призначення пільги на придбання палива, у тому числі рідкого, скрапленого балонного газу для побутових потреб</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105</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01995</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Призначення компенсації за догляд фізичній особі, яка надає соціальні </w:t>
            </w:r>
            <w:r>
              <w:rPr>
                <w:rFonts w:ascii="Times New Roman" w:eastAsia="Times New Roman" w:hAnsi="Times New Roman" w:cs="Times New Roman"/>
                <w:sz w:val="24"/>
                <w:szCs w:val="24"/>
              </w:rPr>
              <w:lastRenderedPageBreak/>
              <w:t>послуги з догляду без провадження підприємницької діяльності на професійній основі</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lastRenderedPageBreak/>
              <w:t>106</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01997</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Забезпечення направлення на комплексну реабілітацію (абілітацію) осіб з інвалідністю, дітей з інвалідністю, дітей віком до трьох років (включно), які належать до групи ризику щодо отримання інвалідності, осіб, визначених в абзацах шостому і сьомому статті 4 Закону України “Про реабілітацію осіб з інвалідністю в Україні”, до державного реабілітаційного закладу, що належить до сфери управління Мінсоцполітики</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107</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01996</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Забезпечення направлення дітей з інвалідністю до реабілітаційної установи для надання реабілітаційних послуг за програмою “Соціальний захист осіб із інвалідністю”</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108</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02263</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Надання одноразової компенсації особам з інвалідністю та дітям з інвалідністю, постраждалим внаслідок дії вибухонебезпечних предметів</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109</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02264</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Надання щорічної допомоги на оздоровлення особам з інвалідністю та дітям з інвалідністю, постраждалим внаслідок дії вибухонебезпечних предметів</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110</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01735</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Прийняття рішення про проведення безоплатного капітального ремонту власних житлових будинків і квартир осіб, що мають право на таку пільгу</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111</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02064</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Видача довідки про право на отримання пільг, які надаються з урахуванням доходу</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112</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02539</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Взяття на облік для забезпечення санаторно-курортним лікуванням (путівками) осіб, стосовно яких встановлено факт позбавлення особистої свободи внаслідок збройної агресії проти України</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113</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02216</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Безоплатне поховання померлих (загиблих) осіб, які мають особливі заслуги та особливі трудові заслуги перед Батьківщиною, учасників бойових дій, постраждалих учасників Революції Гідності і осіб з інвалідністю внаслідок війни</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114</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02500</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Безоплатне спорудження надгробку на могилі померлої (загиблої) особи, яка має особливі заслуги та особливі трудові заслуги перед Батьківщиною, за встановленим зразком</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115</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00228</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Взяття на облік для забезпечення санаторно-курортним лікуванням (путівками) ветеранів війни та осіб, на яких поширюється дія Законів України “Про статус ветеранів війни, гарантії їх соціального захисту” та “Про жертви нацистських переслідувань”</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lastRenderedPageBreak/>
              <w:t>116</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01197</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Встановлення статусу, видача посвідчень жертвам нацистських переслідувань</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117</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01981</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Видача дозволу опікуну на вчинення правочинів щодо передання нерухомого майна або майна, яке потребує постійного управління, власником якого є підопічна недієздатна особа, в управління іншій особі за договором</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118</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00125</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Видача дозволу опікуну на вчинення правочинів щодо укладення договорів, які підлягають нотаріальному посвідченню та (або) державній реєстрації, у тому числі договорів щодо поділу або обміну житлового будинку, квартири</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119</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02657</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Допомога для догляду за дитиною до досягнення нею однорічного віку</w:t>
            </w:r>
          </w:p>
        </w:tc>
      </w:tr>
      <w:tr w:rsidR="0093223F" w:rsidTr="006B0D71">
        <w:tc>
          <w:tcPr>
            <w:tcW w:w="709" w:type="dxa"/>
            <w:shd w:val="clear" w:color="auto" w:fill="auto"/>
            <w:tcMar>
              <w:top w:w="100" w:type="dxa"/>
              <w:left w:w="100" w:type="dxa"/>
              <w:bottom w:w="100" w:type="dxa"/>
              <w:right w:w="100" w:type="dxa"/>
            </w:tcMar>
          </w:tcPr>
          <w:p w:rsidR="0093223F" w:rsidRPr="00AC3B43" w:rsidRDefault="00AC3B43">
            <w:pPr>
              <w:ind w:right="-85"/>
              <w:jc w:val="center"/>
              <w:rPr>
                <w:rFonts w:ascii="Times New Roman" w:eastAsia="Times New Roman" w:hAnsi="Times New Roman" w:cs="Times New Roman"/>
                <w:sz w:val="24"/>
                <w:szCs w:val="24"/>
                <w:lang w:val="uk-UA"/>
              </w:rPr>
            </w:pPr>
            <w:r>
              <w:rPr>
                <w:rFonts w:ascii="Times New Roman" w:eastAsia="Times New Roman" w:hAnsi="Times New Roman" w:cs="Times New Roman"/>
                <w:sz w:val="24"/>
                <w:szCs w:val="24"/>
                <w:lang w:val="uk-UA"/>
              </w:rPr>
              <w:t>120</w:t>
            </w:r>
          </w:p>
        </w:tc>
        <w:tc>
          <w:tcPr>
            <w:tcW w:w="1701" w:type="dxa"/>
            <w:shd w:val="clear" w:color="auto" w:fill="auto"/>
            <w:tcMar>
              <w:top w:w="100" w:type="dxa"/>
              <w:left w:w="100" w:type="dxa"/>
              <w:bottom w:w="100" w:type="dxa"/>
              <w:right w:w="100" w:type="dxa"/>
            </w:tcMar>
          </w:tcPr>
          <w:p w:rsidR="0093223F" w:rsidRDefault="00385E0F">
            <w:pPr>
              <w:ind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02658</w:t>
            </w:r>
          </w:p>
        </w:tc>
        <w:tc>
          <w:tcPr>
            <w:tcW w:w="7654" w:type="dxa"/>
            <w:shd w:val="clear" w:color="auto" w:fill="auto"/>
            <w:tcMar>
              <w:top w:w="100" w:type="dxa"/>
              <w:left w:w="100" w:type="dxa"/>
              <w:bottom w:w="100" w:type="dxa"/>
              <w:right w:w="100" w:type="dxa"/>
            </w:tcMar>
          </w:tcPr>
          <w:p w:rsidR="0093223F" w:rsidRDefault="00385E0F">
            <w:pPr>
              <w:ind w:left="141" w:right="-8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Допомога для догляду за дитиною “єЯсла”</w:t>
            </w:r>
          </w:p>
        </w:tc>
      </w:tr>
    </w:tbl>
    <w:p w:rsidR="0093223F" w:rsidRDefault="0093223F">
      <w:pPr>
        <w:ind w:right="-85"/>
        <w:jc w:val="center"/>
        <w:rPr>
          <w:rFonts w:ascii="Times New Roman" w:eastAsia="Times New Roman" w:hAnsi="Times New Roman" w:cs="Times New Roman"/>
          <w:sz w:val="24"/>
          <w:szCs w:val="24"/>
        </w:rPr>
      </w:pPr>
    </w:p>
    <w:sectPr w:rsidR="0093223F" w:rsidSect="009520DC">
      <w:headerReference w:type="default" r:id="rId8"/>
      <w:pgSz w:w="11909" w:h="16834"/>
      <w:pgMar w:top="851" w:right="851" w:bottom="1134" w:left="851" w:header="720" w:footer="72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21C2B" w:rsidRDefault="00121C2B">
      <w:pPr>
        <w:spacing w:line="240" w:lineRule="auto"/>
      </w:pPr>
      <w:r>
        <w:separator/>
      </w:r>
    </w:p>
  </w:endnote>
  <w:endnote w:type="continuationSeparator" w:id="0">
    <w:p w:rsidR="00121C2B" w:rsidRDefault="00121C2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57A8D9C7-A85A-43FF-A636-98987D9245C6}"/>
  </w:font>
  <w:font w:name="Cambria">
    <w:panose1 w:val="02040503050406030204"/>
    <w:charset w:val="CC"/>
    <w:family w:val="roman"/>
    <w:pitch w:val="variable"/>
    <w:sig w:usb0="E00006FF" w:usb1="420024FF" w:usb2="02000000" w:usb3="00000000" w:csb0="0000019F" w:csb1="00000000"/>
    <w:embedRegular r:id="rId2" w:fontKey="{C4D84593-8CCA-4075-B205-6D1725AC5F97}"/>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21C2B" w:rsidRDefault="00121C2B">
      <w:pPr>
        <w:spacing w:line="240" w:lineRule="auto"/>
      </w:pPr>
      <w:r>
        <w:separator/>
      </w:r>
    </w:p>
  </w:footnote>
  <w:footnote w:type="continuationSeparator" w:id="0">
    <w:p w:rsidR="00121C2B" w:rsidRDefault="00121C2B">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3223F" w:rsidRDefault="0093223F"/>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proofState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3223F"/>
    <w:rsid w:val="0000411B"/>
    <w:rsid w:val="00074E78"/>
    <w:rsid w:val="000C4687"/>
    <w:rsid w:val="00121C2B"/>
    <w:rsid w:val="00385E0F"/>
    <w:rsid w:val="0038603C"/>
    <w:rsid w:val="004700E1"/>
    <w:rsid w:val="004B6513"/>
    <w:rsid w:val="004D6253"/>
    <w:rsid w:val="006A5FF9"/>
    <w:rsid w:val="006B0D71"/>
    <w:rsid w:val="00717016"/>
    <w:rsid w:val="0093223F"/>
    <w:rsid w:val="009520DC"/>
    <w:rsid w:val="00A83955"/>
    <w:rsid w:val="00AC3B43"/>
    <w:rsid w:val="00B52FDD"/>
    <w:rsid w:val="00B8466D"/>
    <w:rsid w:val="00D505DC"/>
    <w:rsid w:val="00D54FEE"/>
  </w:rsids>
  <m:mathPr>
    <m:mathFont m:val="Cambria Math"/>
    <m:brkBin m:val="before"/>
    <m:brkBinSub m:val="--"/>
    <m:smallFrac m:val="0"/>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Arial" w:hAnsi="Arial" w:cs="Arial"/>
        <w:sz w:val="22"/>
        <w:szCs w:val="22"/>
        <w:lang w:val="ru" w:eastAsia="uk-UA"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style>
  <w:style w:type="paragraph" w:styleId="1">
    <w:name w:val="heading 1"/>
    <w:basedOn w:val="a"/>
    <w:next w:val="a"/>
    <w:pPr>
      <w:keepNext/>
      <w:keepLines/>
      <w:spacing w:before="400" w:after="120"/>
      <w:outlineLvl w:val="0"/>
    </w:pPr>
    <w:rPr>
      <w:sz w:val="40"/>
      <w:szCs w:val="40"/>
    </w:rPr>
  </w:style>
  <w:style w:type="paragraph" w:styleId="2">
    <w:name w:val="heading 2"/>
    <w:basedOn w:val="a"/>
    <w:next w:val="a"/>
    <w:pPr>
      <w:keepNext/>
      <w:keepLines/>
      <w:spacing w:before="360" w:after="120"/>
      <w:outlineLvl w:val="1"/>
    </w:pPr>
    <w:rPr>
      <w:sz w:val="32"/>
      <w:szCs w:val="32"/>
    </w:rPr>
  </w:style>
  <w:style w:type="paragraph" w:styleId="3">
    <w:name w:val="heading 3"/>
    <w:basedOn w:val="a"/>
    <w:next w:val="a"/>
    <w:pPr>
      <w:keepNext/>
      <w:keepLines/>
      <w:spacing w:before="320" w:after="80"/>
      <w:outlineLvl w:val="2"/>
    </w:pPr>
    <w:rPr>
      <w:color w:val="434343"/>
      <w:sz w:val="28"/>
      <w:szCs w:val="28"/>
    </w:rPr>
  </w:style>
  <w:style w:type="paragraph" w:styleId="4">
    <w:name w:val="heading 4"/>
    <w:basedOn w:val="a"/>
    <w:next w:val="a"/>
    <w:pPr>
      <w:keepNext/>
      <w:keepLines/>
      <w:spacing w:before="280" w:after="80"/>
      <w:outlineLvl w:val="3"/>
    </w:pPr>
    <w:rPr>
      <w:color w:val="666666"/>
      <w:sz w:val="24"/>
      <w:szCs w:val="24"/>
    </w:rPr>
  </w:style>
  <w:style w:type="paragraph" w:styleId="5">
    <w:name w:val="heading 5"/>
    <w:basedOn w:val="a"/>
    <w:next w:val="a"/>
    <w:pPr>
      <w:keepNext/>
      <w:keepLines/>
      <w:spacing w:before="240" w:after="80"/>
      <w:outlineLvl w:val="4"/>
    </w:pPr>
    <w:rPr>
      <w:color w:val="666666"/>
    </w:rPr>
  </w:style>
  <w:style w:type="paragraph" w:styleId="6">
    <w:name w:val="heading 6"/>
    <w:basedOn w:val="a"/>
    <w:next w:val="a"/>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after="60"/>
    </w:pPr>
    <w:rPr>
      <w:sz w:val="52"/>
      <w:szCs w:val="52"/>
    </w:rPr>
  </w:style>
  <w:style w:type="paragraph" w:styleId="a4">
    <w:name w:val="Subtitle"/>
    <w:basedOn w:val="a"/>
    <w:next w:val="a"/>
    <w:pPr>
      <w:keepNext/>
      <w:keepLines/>
      <w:spacing w:after="320"/>
    </w:pPr>
    <w:rPr>
      <w:color w:val="666666"/>
      <w:sz w:val="30"/>
      <w:szCs w:val="30"/>
    </w:rPr>
  </w:style>
  <w:style w:type="table" w:customStyle="1" w:styleId="a5">
    <w:basedOn w:val="TableNormal"/>
    <w:tblPr>
      <w:tblStyleRowBandSize w:val="1"/>
      <w:tblStyleColBandSize w:val="1"/>
      <w:tblCellMar>
        <w:top w:w="100" w:type="dxa"/>
        <w:left w:w="100" w:type="dxa"/>
        <w:bottom w:w="100" w:type="dxa"/>
        <w:right w:w="10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Arial" w:hAnsi="Arial" w:cs="Arial"/>
        <w:sz w:val="22"/>
        <w:szCs w:val="22"/>
        <w:lang w:val="ru" w:eastAsia="uk-UA"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style>
  <w:style w:type="paragraph" w:styleId="1">
    <w:name w:val="heading 1"/>
    <w:basedOn w:val="a"/>
    <w:next w:val="a"/>
    <w:pPr>
      <w:keepNext/>
      <w:keepLines/>
      <w:spacing w:before="400" w:after="120"/>
      <w:outlineLvl w:val="0"/>
    </w:pPr>
    <w:rPr>
      <w:sz w:val="40"/>
      <w:szCs w:val="40"/>
    </w:rPr>
  </w:style>
  <w:style w:type="paragraph" w:styleId="2">
    <w:name w:val="heading 2"/>
    <w:basedOn w:val="a"/>
    <w:next w:val="a"/>
    <w:pPr>
      <w:keepNext/>
      <w:keepLines/>
      <w:spacing w:before="360" w:after="120"/>
      <w:outlineLvl w:val="1"/>
    </w:pPr>
    <w:rPr>
      <w:sz w:val="32"/>
      <w:szCs w:val="32"/>
    </w:rPr>
  </w:style>
  <w:style w:type="paragraph" w:styleId="3">
    <w:name w:val="heading 3"/>
    <w:basedOn w:val="a"/>
    <w:next w:val="a"/>
    <w:pPr>
      <w:keepNext/>
      <w:keepLines/>
      <w:spacing w:before="320" w:after="80"/>
      <w:outlineLvl w:val="2"/>
    </w:pPr>
    <w:rPr>
      <w:color w:val="434343"/>
      <w:sz w:val="28"/>
      <w:szCs w:val="28"/>
    </w:rPr>
  </w:style>
  <w:style w:type="paragraph" w:styleId="4">
    <w:name w:val="heading 4"/>
    <w:basedOn w:val="a"/>
    <w:next w:val="a"/>
    <w:pPr>
      <w:keepNext/>
      <w:keepLines/>
      <w:spacing w:before="280" w:after="80"/>
      <w:outlineLvl w:val="3"/>
    </w:pPr>
    <w:rPr>
      <w:color w:val="666666"/>
      <w:sz w:val="24"/>
      <w:szCs w:val="24"/>
    </w:rPr>
  </w:style>
  <w:style w:type="paragraph" w:styleId="5">
    <w:name w:val="heading 5"/>
    <w:basedOn w:val="a"/>
    <w:next w:val="a"/>
    <w:pPr>
      <w:keepNext/>
      <w:keepLines/>
      <w:spacing w:before="240" w:after="80"/>
      <w:outlineLvl w:val="4"/>
    </w:pPr>
    <w:rPr>
      <w:color w:val="666666"/>
    </w:rPr>
  </w:style>
  <w:style w:type="paragraph" w:styleId="6">
    <w:name w:val="heading 6"/>
    <w:basedOn w:val="a"/>
    <w:next w:val="a"/>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pPr>
      <w:keepNext/>
      <w:keepLines/>
      <w:spacing w:after="60"/>
    </w:pPr>
    <w:rPr>
      <w:sz w:val="52"/>
      <w:szCs w:val="52"/>
    </w:rPr>
  </w:style>
  <w:style w:type="paragraph" w:styleId="a4">
    <w:name w:val="Subtitle"/>
    <w:basedOn w:val="a"/>
    <w:next w:val="a"/>
    <w:pPr>
      <w:keepNext/>
      <w:keepLines/>
      <w:spacing w:after="320"/>
    </w:pPr>
    <w:rPr>
      <w:color w:val="666666"/>
      <w:sz w:val="30"/>
      <w:szCs w:val="30"/>
    </w:rPr>
  </w:style>
  <w:style w:type="table" w:customStyle="1" w:styleId="a5">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E9D80B-5F6B-4236-B1D4-4AD6C4220F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1</Pages>
  <Words>2908</Words>
  <Characters>16581</Characters>
  <Application>Microsoft Office Word</Application>
  <DocSecurity>0</DocSecurity>
  <Lines>138</Lines>
  <Paragraphs>38</Paragraphs>
  <ScaleCrop>false</ScaleCrop>
  <HeadingPairs>
    <vt:vector size="2" baseType="variant">
      <vt:variant>
        <vt:lpstr>Назва</vt:lpstr>
      </vt:variant>
      <vt:variant>
        <vt:i4>1</vt:i4>
      </vt:variant>
    </vt:vector>
  </HeadingPairs>
  <TitlesOfParts>
    <vt:vector size="1" baseType="lpstr">
      <vt:lpstr/>
    </vt:vector>
  </TitlesOfParts>
  <Company/>
  <LinksUpToDate>false</LinksUpToDate>
  <CharactersWithSpaces>19451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Bondarenko</cp:lastModifiedBy>
  <cp:revision>17</cp:revision>
  <dcterms:created xsi:type="dcterms:W3CDTF">2026-05-13T08:13:00Z</dcterms:created>
  <dcterms:modified xsi:type="dcterms:W3CDTF">2026-06-05T07:38:00Z</dcterms:modified>
</cp:coreProperties>
</file>